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E61E" w14:textId="4230AB94" w:rsidR="00EC467D" w:rsidRPr="008A1D13" w:rsidRDefault="00FE761E" w:rsidP="00EC467D">
      <w:pPr>
        <w:tabs>
          <w:tab w:val="left" w:pos="940"/>
          <w:tab w:val="left" w:pos="1440"/>
        </w:tabs>
        <w:autoSpaceDE w:val="0"/>
        <w:autoSpaceDN w:val="0"/>
        <w:adjustRightInd w:val="0"/>
        <w:spacing w:after="240" w:line="360" w:lineRule="atLeast"/>
        <w:jc w:val="right"/>
        <w:outlineLvl w:val="1"/>
        <w:rPr>
          <w:rFonts w:ascii="Leelawadee UI Semilight" w:eastAsiaTheme="majorEastAsia" w:hAnsi="Leelawadee UI Semilight" w:cs="Leelawadee UI Semilight"/>
          <w:b/>
          <w:color w:val="000000"/>
          <w:u w:val="single"/>
        </w:rPr>
      </w:pPr>
      <w:bookmarkStart w:id="0" w:name="_Toc509347350"/>
      <w:r>
        <w:rPr>
          <w:rFonts w:ascii="Leelawadee UI Semilight" w:eastAsiaTheme="majorEastAsia" w:hAnsi="Leelawadee UI Semilight" w:cs="Leelawadee UI Semilight"/>
          <w:b/>
          <w:color w:val="000000"/>
          <w:u w:val="single"/>
        </w:rPr>
        <w:t xml:space="preserve">U. Javeriana </w:t>
      </w:r>
      <w:r w:rsidR="008A1D13" w:rsidRPr="008A1D13">
        <w:rPr>
          <w:rFonts w:ascii="Leelawadee UI Semilight" w:eastAsiaTheme="majorEastAsia" w:hAnsi="Leelawadee UI Semilight" w:cs="Leelawadee UI Semilight"/>
          <w:b/>
          <w:color w:val="000000"/>
          <w:u w:val="single"/>
        </w:rPr>
        <w:t xml:space="preserve"> (</w:t>
      </w:r>
      <w:r w:rsidR="00081FC3" w:rsidRPr="008A1D13">
        <w:rPr>
          <w:rFonts w:ascii="Leelawadee UI Semilight" w:eastAsiaTheme="majorEastAsia" w:hAnsi="Leelawadee UI Semilight" w:cs="Leelawadee UI Semilight"/>
          <w:b/>
          <w:color w:val="000000"/>
          <w:u w:val="single"/>
        </w:rPr>
        <w:t>a</w:t>
      </w:r>
      <w:r>
        <w:rPr>
          <w:rFonts w:ascii="Leelawadee UI Semilight" w:eastAsiaTheme="majorEastAsia" w:hAnsi="Leelawadee UI Semilight" w:cs="Leelawadee UI Semilight"/>
          <w:b/>
          <w:color w:val="000000"/>
          <w:u w:val="single"/>
        </w:rPr>
        <w:t>gosto</w:t>
      </w:r>
      <w:r w:rsidR="008A1D13" w:rsidRPr="008A1D13">
        <w:rPr>
          <w:rFonts w:ascii="Leelawadee UI Semilight" w:eastAsiaTheme="majorEastAsia" w:hAnsi="Leelawadee UI Semilight" w:cs="Leelawadee UI Semilight"/>
          <w:b/>
          <w:color w:val="000000"/>
          <w:u w:val="single"/>
        </w:rPr>
        <w:t xml:space="preserve"> 20</w:t>
      </w:r>
      <w:r w:rsidR="00D56979">
        <w:rPr>
          <w:rFonts w:ascii="Leelawadee UI Semilight" w:eastAsiaTheme="majorEastAsia" w:hAnsi="Leelawadee UI Semilight" w:cs="Leelawadee UI Semilight"/>
          <w:b/>
          <w:color w:val="000000"/>
          <w:u w:val="single"/>
        </w:rPr>
        <w:t>20</w:t>
      </w:r>
      <w:r w:rsidR="008A1D13" w:rsidRPr="008A1D13">
        <w:rPr>
          <w:rFonts w:ascii="Leelawadee UI Semilight" w:eastAsiaTheme="majorEastAsia" w:hAnsi="Leelawadee UI Semilight" w:cs="Leelawadee UI Semilight"/>
          <w:b/>
          <w:color w:val="000000"/>
          <w:u w:val="single"/>
        </w:rPr>
        <w:t>)</w:t>
      </w:r>
    </w:p>
    <w:p w14:paraId="1666DCB3"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u w:val="single"/>
        </w:rPr>
      </w:pPr>
      <w:r w:rsidRPr="00EC467D">
        <w:rPr>
          <w:rFonts w:ascii="Leelawadee UI Semilight" w:eastAsiaTheme="majorEastAsia" w:hAnsi="Leelawadee UI Semilight" w:cs="Leelawadee UI Semilight"/>
          <w:b/>
          <w:color w:val="000000"/>
          <w:u w:val="single"/>
        </w:rPr>
        <w:t>Curso Contabilidad de Coberturas – Resumen Básico Conceptual</w:t>
      </w:r>
    </w:p>
    <w:p w14:paraId="032D83AA" w14:textId="77777777" w:rsid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t>Definición de activo financiero</w:t>
      </w:r>
    </w:p>
    <w:p w14:paraId="0420D2EC"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Pr>
          <w:rFonts w:ascii="Leelawadee UI Semilight" w:eastAsiaTheme="majorEastAsia" w:hAnsi="Leelawadee UI Semilight" w:cs="Leelawadee UI Semilight"/>
          <w:color w:val="000000"/>
        </w:rPr>
        <w:t>E</w:t>
      </w:r>
      <w:r w:rsidRPr="008A1D13">
        <w:rPr>
          <w:rFonts w:ascii="Leelawadee UI Semilight" w:eastAsiaTheme="majorEastAsia" w:hAnsi="Leelawadee UI Semilight" w:cs="Leelawadee UI Semilight"/>
          <w:color w:val="000000"/>
        </w:rPr>
        <w:t>s un instrumento financiero que determina un poder al que el beneficiario tiene de recibir unos flujos de efectivo futuros. Para poder determinar si es un activo financiero tiene que poseer algunas de las siguientes formas:</w:t>
      </w:r>
    </w:p>
    <w:p w14:paraId="7A486A1F" w14:textId="77777777" w:rsidR="008A1D13" w:rsidRP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Efectivo</w:t>
      </w:r>
    </w:p>
    <w:p w14:paraId="471C158C" w14:textId="77777777" w:rsid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Un instrumento de patrimonio neto de otra entidad</w:t>
      </w:r>
    </w:p>
    <w:p w14:paraId="1B7374F4" w14:textId="77777777" w:rsid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 xml:space="preserve">Un derecho contractual para; recibir efectivo o un activo financiero de otra entidad; intercambio de activos o pasivos financieros, en un contexto </w:t>
      </w:r>
      <w:r w:rsidR="00081FC3" w:rsidRPr="008A1D13">
        <w:rPr>
          <w:rFonts w:ascii="Leelawadee UI Semilight" w:eastAsiaTheme="majorEastAsia" w:hAnsi="Leelawadee UI Semilight" w:cs="Leelawadee UI Semilight"/>
          <w:color w:val="000000"/>
        </w:rPr>
        <w:t>favorable</w:t>
      </w:r>
      <w:r w:rsidRPr="008A1D13">
        <w:rPr>
          <w:rFonts w:ascii="Leelawadee UI Semilight" w:eastAsiaTheme="majorEastAsia" w:hAnsi="Leelawadee UI Semilight" w:cs="Leelawadee UI Semilight"/>
          <w:color w:val="000000"/>
        </w:rPr>
        <w:t xml:space="preserve"> hacia la empresa.</w:t>
      </w:r>
    </w:p>
    <w:p w14:paraId="375A66FE" w14:textId="77777777" w:rsid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Un contrato que pueda ser liquidado con un instrumento de patrimonio propio de la entidad, como lo pueden ser:</w:t>
      </w:r>
    </w:p>
    <w:p w14:paraId="222DFA83" w14:textId="77777777" w:rsid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Instrumentos no derivados que permitan a la empresa verse obligada a recibir un beneficio económico</w:t>
      </w:r>
    </w:p>
    <w:p w14:paraId="58F03E11" w14:textId="77777777" w:rsidR="008A1D13" w:rsidRPr="008A1D13" w:rsidRDefault="008A1D13" w:rsidP="008A1D13">
      <w:pPr>
        <w:pStyle w:val="Prrafodelista"/>
        <w:numPr>
          <w:ilvl w:val="0"/>
          <w:numId w:val="7"/>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Instrumentos derivado</w:t>
      </w:r>
      <w:r>
        <w:rPr>
          <w:rFonts w:ascii="Leelawadee UI Semilight" w:eastAsiaTheme="majorEastAsia" w:hAnsi="Leelawadee UI Semilight" w:cs="Leelawadee UI Semilight"/>
          <w:color w:val="000000"/>
        </w:rPr>
        <w:t>s</w:t>
      </w:r>
      <w:r w:rsidRPr="008A1D13">
        <w:rPr>
          <w:rFonts w:ascii="Leelawadee UI Semilight" w:eastAsiaTheme="majorEastAsia" w:hAnsi="Leelawadee UI Semilight" w:cs="Leelawadee UI Semilight"/>
          <w:color w:val="000000"/>
        </w:rPr>
        <w:t>, se puede recibir un beneficio en una forma distinta al instrumento activo financiero (cantidad fija de efectivo), como lo es otros instrumentos de patrimonio propio. (NIC 32, 2017)</w:t>
      </w:r>
    </w:p>
    <w:p w14:paraId="138A0126" w14:textId="77777777" w:rsid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t>Clases de activos financieros</w:t>
      </w:r>
    </w:p>
    <w:tbl>
      <w:tblPr>
        <w:tblStyle w:val="Tablaconcuadrcula"/>
        <w:tblW w:w="0" w:type="auto"/>
        <w:tblLook w:val="04A0" w:firstRow="1" w:lastRow="0" w:firstColumn="1" w:lastColumn="0" w:noHBand="0" w:noVBand="1"/>
      </w:tblPr>
      <w:tblGrid>
        <w:gridCol w:w="4414"/>
        <w:gridCol w:w="4414"/>
      </w:tblGrid>
      <w:tr w:rsidR="008A1D13" w:rsidRPr="00591886" w14:paraId="519E50DC" w14:textId="77777777" w:rsidTr="009B7DB0">
        <w:tc>
          <w:tcPr>
            <w:tcW w:w="4414" w:type="dxa"/>
          </w:tcPr>
          <w:p w14:paraId="305AC2A8"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b/>
                <w:color w:val="000000"/>
                <w:sz w:val="22"/>
                <w:szCs w:val="22"/>
                <w:lang w:val="es-CO"/>
              </w:rPr>
            </w:pPr>
            <w:r w:rsidRPr="00591886">
              <w:rPr>
                <w:rFonts w:ascii="Times New Roman" w:eastAsia="MS Mincho" w:hAnsi="Times New Roman" w:cs="Times New Roman"/>
                <w:b/>
                <w:color w:val="000000"/>
                <w:sz w:val="22"/>
                <w:szCs w:val="22"/>
                <w:lang w:val="es-CO"/>
              </w:rPr>
              <w:t>Clases de Activos Financieros</w:t>
            </w:r>
          </w:p>
        </w:tc>
        <w:tc>
          <w:tcPr>
            <w:tcW w:w="4414" w:type="dxa"/>
          </w:tcPr>
          <w:p w14:paraId="24EA752F"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b/>
                <w:color w:val="000000"/>
                <w:sz w:val="22"/>
                <w:szCs w:val="22"/>
                <w:lang w:val="es-CO"/>
              </w:rPr>
            </w:pPr>
            <w:r w:rsidRPr="00591886">
              <w:rPr>
                <w:rFonts w:ascii="Times New Roman" w:eastAsia="MS Mincho" w:hAnsi="Times New Roman" w:cs="Times New Roman"/>
                <w:b/>
                <w:color w:val="000000"/>
                <w:sz w:val="22"/>
                <w:szCs w:val="22"/>
                <w:lang w:val="es-CO"/>
              </w:rPr>
              <w:t>Clases de Pasivos Financieros</w:t>
            </w:r>
          </w:p>
        </w:tc>
      </w:tr>
      <w:tr w:rsidR="008A1D13" w:rsidRPr="00591886" w14:paraId="06FE0032" w14:textId="77777777" w:rsidTr="009B7DB0">
        <w:tc>
          <w:tcPr>
            <w:tcW w:w="4414" w:type="dxa"/>
          </w:tcPr>
          <w:p w14:paraId="4190D805"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Préstamos y partidas a cobrar</w:t>
            </w:r>
          </w:p>
        </w:tc>
        <w:tc>
          <w:tcPr>
            <w:tcW w:w="4414" w:type="dxa"/>
          </w:tcPr>
          <w:p w14:paraId="6CBC1852"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Deudas a largo o corto plazo</w:t>
            </w:r>
          </w:p>
        </w:tc>
      </w:tr>
      <w:tr w:rsidR="008A1D13" w:rsidRPr="00591886" w14:paraId="162A9A97" w14:textId="77777777" w:rsidTr="009B7DB0">
        <w:tc>
          <w:tcPr>
            <w:tcW w:w="4414" w:type="dxa"/>
          </w:tcPr>
          <w:p w14:paraId="595A421F"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Inversiones mantenidas hasta el vencimiento</w:t>
            </w:r>
          </w:p>
        </w:tc>
        <w:tc>
          <w:tcPr>
            <w:tcW w:w="4414" w:type="dxa"/>
          </w:tcPr>
          <w:p w14:paraId="76A795CC"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Acreedores comerciales y otras cuentas a pagar</w:t>
            </w:r>
          </w:p>
        </w:tc>
      </w:tr>
      <w:tr w:rsidR="008A1D13" w:rsidRPr="00591886" w14:paraId="59F04324" w14:textId="77777777" w:rsidTr="009B7DB0">
        <w:tc>
          <w:tcPr>
            <w:tcW w:w="4414" w:type="dxa"/>
          </w:tcPr>
          <w:p w14:paraId="7B79407C"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Activos financieros mantenidos para negociar</w:t>
            </w:r>
          </w:p>
        </w:tc>
        <w:tc>
          <w:tcPr>
            <w:tcW w:w="4414" w:type="dxa"/>
          </w:tcPr>
          <w:p w14:paraId="75ABC6A3"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Provisiones</w:t>
            </w:r>
          </w:p>
        </w:tc>
      </w:tr>
      <w:tr w:rsidR="008A1D13" w:rsidRPr="00591886" w14:paraId="7E2C8508" w14:textId="77777777" w:rsidTr="009B7DB0">
        <w:tc>
          <w:tcPr>
            <w:tcW w:w="4414" w:type="dxa"/>
          </w:tcPr>
          <w:p w14:paraId="714C9384"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Otros activos financieros a valor razonable con cambios en la cuenta de pérdidas y ganancias</w:t>
            </w:r>
          </w:p>
        </w:tc>
        <w:tc>
          <w:tcPr>
            <w:tcW w:w="4414" w:type="dxa"/>
          </w:tcPr>
          <w:p w14:paraId="21C42E2F"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Periodificaciones</w:t>
            </w:r>
          </w:p>
        </w:tc>
      </w:tr>
      <w:tr w:rsidR="008A1D13" w:rsidRPr="00591886" w14:paraId="09EB56B5" w14:textId="77777777" w:rsidTr="009B7DB0">
        <w:tc>
          <w:tcPr>
            <w:tcW w:w="4414" w:type="dxa"/>
          </w:tcPr>
          <w:p w14:paraId="0CF87A72"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Inversiones en el patrimonio de empresas del grupo, multigrupo y asociadas</w:t>
            </w:r>
          </w:p>
        </w:tc>
        <w:tc>
          <w:tcPr>
            <w:tcW w:w="4414" w:type="dxa"/>
          </w:tcPr>
          <w:p w14:paraId="337E28AD" w14:textId="77777777" w:rsidR="008A1D13" w:rsidRPr="00591886" w:rsidRDefault="008A1D13" w:rsidP="009B7DB0">
            <w:pPr>
              <w:autoSpaceDE w:val="0"/>
              <w:autoSpaceDN w:val="0"/>
              <w:adjustRightInd w:val="0"/>
              <w:spacing w:after="240" w:line="360" w:lineRule="atLeast"/>
              <w:jc w:val="both"/>
              <w:rPr>
                <w:rFonts w:ascii="Times New Roman" w:eastAsia="MS Mincho" w:hAnsi="Times New Roman" w:cs="Times New Roman"/>
                <w:color w:val="000000"/>
                <w:sz w:val="22"/>
                <w:szCs w:val="22"/>
                <w:lang w:val="es-CO"/>
              </w:rPr>
            </w:pPr>
            <w:r w:rsidRPr="00591886">
              <w:rPr>
                <w:rFonts w:ascii="Times New Roman" w:eastAsia="MS Mincho" w:hAnsi="Times New Roman" w:cs="Times New Roman"/>
                <w:color w:val="000000"/>
                <w:sz w:val="22"/>
                <w:szCs w:val="22"/>
                <w:lang w:val="es-CO"/>
              </w:rPr>
              <w:t>Pasivos por impuestos diferidos</w:t>
            </w:r>
          </w:p>
        </w:tc>
      </w:tr>
    </w:tbl>
    <w:p w14:paraId="246A19C6"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lastRenderedPageBreak/>
        <w:t>Definición de pasivo financiero</w:t>
      </w:r>
    </w:p>
    <w:p w14:paraId="156B875D"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Son todas las obligaciones presentes, que tiene la empresa para entregar un activo financiero o una cantidad fija de efectivo, en un determinado periodo. posee dos formas:</w:t>
      </w:r>
    </w:p>
    <w:p w14:paraId="5934CABC" w14:textId="77777777" w:rsidR="008A1D13" w:rsidRPr="008A1D13" w:rsidRDefault="008A1D13" w:rsidP="008A1D13">
      <w:pPr>
        <w:pStyle w:val="Prrafodelista"/>
        <w:numPr>
          <w:ilvl w:val="0"/>
          <w:numId w:val="8"/>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Una obligación contractual; de entregar flujos de efectivo o intercambiar activos o pasivos financieros siendo desfavorables para la misma.</w:t>
      </w:r>
    </w:p>
    <w:p w14:paraId="595260DE" w14:textId="77777777" w:rsidR="008A1D13" w:rsidRDefault="008A1D13" w:rsidP="008A1D13">
      <w:pPr>
        <w:pStyle w:val="Prrafodelista"/>
        <w:numPr>
          <w:ilvl w:val="0"/>
          <w:numId w:val="8"/>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Un contrato que pueda ser liquidado con un instrumento de patrimonio propio de la entidad, como lo pueden ser;</w:t>
      </w:r>
    </w:p>
    <w:p w14:paraId="485B04EE" w14:textId="77777777" w:rsidR="008A1D13" w:rsidRDefault="008A1D13" w:rsidP="008A1D13">
      <w:pPr>
        <w:pStyle w:val="Prrafodelista"/>
        <w:numPr>
          <w:ilvl w:val="0"/>
          <w:numId w:val="8"/>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Instrumentos no derivados que permitan a la empresa verse obligada a entregar un instrumento de patrimonio propio.</w:t>
      </w:r>
    </w:p>
    <w:p w14:paraId="66D907F5" w14:textId="77777777" w:rsidR="008A1D13" w:rsidRPr="008A1D13" w:rsidRDefault="008A1D13" w:rsidP="008A1D13">
      <w:pPr>
        <w:pStyle w:val="Prrafodelista"/>
        <w:numPr>
          <w:ilvl w:val="0"/>
          <w:numId w:val="8"/>
        </w:num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Instrumentos derivados: cumplir con su obligación con otro instrumento, de patrimonio propio y activo financiero.</w:t>
      </w:r>
    </w:p>
    <w:p w14:paraId="2F13389E"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t xml:space="preserve">Definición de instrumento de patrimonio </w:t>
      </w:r>
    </w:p>
    <w:p w14:paraId="0F6FCD7C"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Es cualquier contrato que permita evidenciar una participación residual de los activos propios de la entidad, emitidos una vez deducidos todos sus pasivos. (NIC 32, 2017)</w:t>
      </w:r>
    </w:p>
    <w:p w14:paraId="4F2AB77B"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t xml:space="preserve">Ejemplo: </w:t>
      </w:r>
    </w:p>
    <w:p w14:paraId="34CDD4AF"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Las acciones</w:t>
      </w:r>
    </w:p>
    <w:p w14:paraId="5764FFBC" w14:textId="77777777" w:rsid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p>
    <w:p w14:paraId="58B3B80C" w14:textId="77777777" w:rsidR="008A1D13" w:rsidRPr="008A1D13" w:rsidRDefault="008A1D13" w:rsidP="008A1D13">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8A1D13">
        <w:rPr>
          <w:rFonts w:ascii="Leelawadee UI Semilight" w:eastAsiaTheme="majorEastAsia" w:hAnsi="Leelawadee UI Semilight" w:cs="Leelawadee UI Semilight"/>
          <w:b/>
          <w:color w:val="000000"/>
        </w:rPr>
        <w:t xml:space="preserve">Definición de instrumentos financieros al valor razonable </w:t>
      </w:r>
    </w:p>
    <w:p w14:paraId="01A87BA8" w14:textId="77777777" w:rsidR="008A1D13" w:rsidRDefault="008A1D13"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color w:val="000000"/>
        </w:rPr>
      </w:pPr>
      <w:r w:rsidRPr="008A1D13">
        <w:rPr>
          <w:rFonts w:ascii="Leelawadee UI Semilight" w:eastAsiaTheme="majorEastAsia" w:hAnsi="Leelawadee UI Semilight" w:cs="Leelawadee UI Semilight"/>
          <w:color w:val="000000"/>
        </w:rPr>
        <w:t>Se entiende por valor razonable de un activo o pasivo financiero el momento inicial en el que un comprador y un vendedor interesados y debidamente informados realizan la transacción en condiciones de independencia mutua.</w:t>
      </w:r>
    </w:p>
    <w:p w14:paraId="379C8099"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r w:rsidRPr="00EC467D">
        <w:rPr>
          <w:rFonts w:ascii="Leelawadee UI Semilight" w:eastAsiaTheme="majorEastAsia" w:hAnsi="Leelawadee UI Semilight" w:cs="Leelawadee UI Semilight"/>
          <w:b/>
          <w:color w:val="000000"/>
        </w:rPr>
        <w:t>Concepto de cobertura</w:t>
      </w:r>
      <w:bookmarkEnd w:id="0"/>
    </w:p>
    <w:p w14:paraId="09FE39A4" w14:textId="77777777" w:rsidR="00EC467D" w:rsidRPr="00EC467D" w:rsidRDefault="00EC467D" w:rsidP="00EC467D">
      <w:pPr>
        <w:shd w:val="clear" w:color="auto" w:fill="FFFFFF"/>
        <w:spacing w:before="100" w:beforeAutospacing="1" w:after="100" w:afterAutospacing="1"/>
        <w:jc w:val="both"/>
        <w:rPr>
          <w:rFonts w:ascii="Leelawadee UI Semilight" w:eastAsia="Times New Roman" w:hAnsi="Leelawadee UI Semilight" w:cs="Leelawadee UI Semilight"/>
          <w:color w:val="000000"/>
          <w:lang w:eastAsia="es-CO"/>
        </w:rPr>
      </w:pPr>
      <w:r w:rsidRPr="00EC467D">
        <w:rPr>
          <w:rFonts w:ascii="Leelawadee UI Semilight" w:eastAsia="Times New Roman" w:hAnsi="Leelawadee UI Semilight" w:cs="Leelawadee UI Semilight"/>
          <w:color w:val="000000"/>
          <w:lang w:val="es-ES_tradnl" w:eastAsia="es-CO"/>
        </w:rPr>
        <w:t>Para efectos contables es la designación de uno o más instrumentos de cobertura cuyos cambios en el valor razonable compensan, en todo o en parte, los cambios en el valor razonable o flujos de efectivo de un elemento cubierto para lo cual deberá contar con una efectividad de cobertura.</w:t>
      </w:r>
    </w:p>
    <w:p w14:paraId="78F5EF2A" w14:textId="77777777" w:rsidR="00EC467D" w:rsidRPr="00EC467D" w:rsidRDefault="00EC467D" w:rsidP="00EC467D">
      <w:pPr>
        <w:shd w:val="clear" w:color="auto" w:fill="FFFFFF"/>
        <w:spacing w:before="100" w:beforeAutospacing="1" w:after="100" w:afterAutospacing="1"/>
        <w:jc w:val="both"/>
        <w:rPr>
          <w:rFonts w:ascii="Leelawadee UI Semilight" w:eastAsia="Times New Roman" w:hAnsi="Leelawadee UI Semilight" w:cs="Leelawadee UI Semilight"/>
          <w:color w:val="000000"/>
          <w:lang w:eastAsia="es-CO"/>
        </w:rPr>
      </w:pPr>
      <w:r w:rsidRPr="00EC467D">
        <w:rPr>
          <w:rFonts w:ascii="Leelawadee UI Semilight" w:eastAsia="Times New Roman" w:hAnsi="Leelawadee UI Semilight" w:cs="Leelawadee UI Semilight"/>
          <w:color w:val="000000"/>
          <w:lang w:val="es-ES_tradnl" w:eastAsia="es-CO"/>
        </w:rPr>
        <w:lastRenderedPageBreak/>
        <w:t>La efectividad de cobertura será el grado en que los cambios en el valor razonable o flujos de efectivo del elemento cubierto atribuibles al riesgo cubierto </w:t>
      </w:r>
      <w:r w:rsidRPr="00EC467D">
        <w:rPr>
          <w:rFonts w:ascii="Leelawadee UI Semilight" w:eastAsia="Times New Roman" w:hAnsi="Leelawadee UI Semilight" w:cs="Leelawadee UI Semilight"/>
          <w:color w:val="000000"/>
          <w:u w:val="single"/>
          <w:lang w:val="es-ES_tradnl" w:eastAsia="es-CO"/>
        </w:rPr>
        <w:t>se cubren</w:t>
      </w:r>
      <w:r w:rsidRPr="00EC467D">
        <w:rPr>
          <w:rFonts w:ascii="Leelawadee UI Semilight" w:eastAsia="Times New Roman" w:hAnsi="Leelawadee UI Semilight" w:cs="Leelawadee UI Semilight"/>
          <w:color w:val="000000"/>
          <w:lang w:val="es-ES_tradnl" w:eastAsia="es-CO"/>
        </w:rPr>
        <w:t> con el instrumento de cobertura.</w:t>
      </w:r>
    </w:p>
    <w:p w14:paraId="0DE50D01" w14:textId="77777777" w:rsidR="00EC467D" w:rsidRPr="00EC467D" w:rsidRDefault="00EC467D" w:rsidP="00EC467D">
      <w:pPr>
        <w:shd w:val="clear" w:color="auto" w:fill="FFFFFF"/>
        <w:spacing w:before="100" w:beforeAutospacing="1" w:after="100" w:afterAutospacing="1"/>
        <w:jc w:val="both"/>
        <w:rPr>
          <w:rFonts w:ascii="Leelawadee UI Semilight" w:eastAsia="Times New Roman" w:hAnsi="Leelawadee UI Semilight" w:cs="Leelawadee UI Semilight"/>
          <w:color w:val="000000"/>
          <w:lang w:eastAsia="es-CO"/>
        </w:rPr>
      </w:pPr>
      <w:r w:rsidRPr="00EC467D">
        <w:rPr>
          <w:rFonts w:ascii="Leelawadee UI Semilight" w:eastAsia="Times New Roman" w:hAnsi="Leelawadee UI Semilight" w:cs="Leelawadee UI Semilight"/>
          <w:color w:val="000000"/>
          <w:lang w:val="es-ES_tradnl" w:eastAsia="es-CO"/>
        </w:rPr>
        <w:t>Un elemento cubierto es un activo, pasivo, compromiso en firme o transacción futura prevista que:</w:t>
      </w:r>
    </w:p>
    <w:p w14:paraId="2730A4D3" w14:textId="77777777" w:rsidR="00EC467D" w:rsidRPr="00EC467D" w:rsidRDefault="00EC467D" w:rsidP="00EC467D">
      <w:pPr>
        <w:pStyle w:val="Prrafodelista"/>
        <w:numPr>
          <w:ilvl w:val="0"/>
          <w:numId w:val="2"/>
        </w:numPr>
        <w:shd w:val="clear" w:color="auto" w:fill="FFFFFF"/>
        <w:spacing w:before="100" w:beforeAutospacing="1" w:after="100" w:afterAutospacing="1"/>
        <w:jc w:val="both"/>
        <w:rPr>
          <w:rFonts w:ascii="Leelawadee UI Semilight" w:eastAsia="Times New Roman" w:hAnsi="Leelawadee UI Semilight" w:cs="Leelawadee UI Semilight"/>
          <w:color w:val="000000"/>
          <w:sz w:val="24"/>
          <w:szCs w:val="24"/>
          <w:lang w:eastAsia="es-CO"/>
        </w:rPr>
      </w:pPr>
      <w:r w:rsidRPr="00EC467D">
        <w:rPr>
          <w:rFonts w:ascii="Leelawadee UI Semilight" w:eastAsia="Times New Roman" w:hAnsi="Leelawadee UI Semilight" w:cs="Leelawadee UI Semilight"/>
          <w:color w:val="000000"/>
          <w:sz w:val="24"/>
          <w:szCs w:val="24"/>
          <w:lang w:val="es-ES_tradnl" w:eastAsia="es-CO"/>
        </w:rPr>
        <w:t>Expone a la empresa a un riesgo de cambio en su valor razonable o en los futuros flujos de efectivo</w:t>
      </w:r>
    </w:p>
    <w:p w14:paraId="102FF4BE" w14:textId="77777777" w:rsidR="00EC467D" w:rsidRPr="00EC467D" w:rsidRDefault="00EC467D" w:rsidP="00EC467D">
      <w:pPr>
        <w:pStyle w:val="Prrafodelista"/>
        <w:numPr>
          <w:ilvl w:val="0"/>
          <w:numId w:val="2"/>
        </w:numPr>
        <w:shd w:val="clear" w:color="auto" w:fill="FFFFFF"/>
        <w:spacing w:before="100" w:beforeAutospacing="1" w:after="100" w:afterAutospacing="1"/>
        <w:jc w:val="both"/>
        <w:rPr>
          <w:rFonts w:ascii="Leelawadee UI Semilight" w:eastAsia="Times New Roman" w:hAnsi="Leelawadee UI Semilight" w:cs="Leelawadee UI Semilight"/>
          <w:color w:val="000000"/>
          <w:sz w:val="24"/>
          <w:szCs w:val="24"/>
          <w:lang w:eastAsia="es-CO"/>
        </w:rPr>
      </w:pPr>
      <w:r w:rsidRPr="00EC467D">
        <w:rPr>
          <w:rFonts w:ascii="Leelawadee UI Semilight" w:eastAsia="Times New Roman" w:hAnsi="Leelawadee UI Semilight" w:cs="Leelawadee UI Semilight"/>
          <w:color w:val="000000"/>
          <w:sz w:val="24"/>
          <w:szCs w:val="24"/>
          <w:lang w:val="es-ES_tradnl" w:eastAsia="es-CO"/>
        </w:rPr>
        <w:t>A efecto contable, es designado como cubierto.</w:t>
      </w:r>
    </w:p>
    <w:p w14:paraId="1ACCD872" w14:textId="77777777" w:rsidR="00EC467D" w:rsidRP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color w:val="000000"/>
        </w:rPr>
      </w:pPr>
      <w:r w:rsidRPr="00EC467D">
        <w:rPr>
          <w:rFonts w:ascii="Leelawadee UI Semilight" w:eastAsia="Times New Roman" w:hAnsi="Leelawadee UI Semilight" w:cs="Leelawadee UI Semilight"/>
          <w:color w:val="000000"/>
          <w:lang w:val="es-ES_tradnl" w:eastAsia="es-CO"/>
        </w:rPr>
        <w:t>La contabilidad de cobertura reconoce los efectos de compensación que los cambios en el valor razonable del instrumento de cobertura y del elemento cubierto producen en la ganancia o pérdida neta del periodo.</w:t>
      </w:r>
      <w:r w:rsidRPr="00EC467D">
        <w:rPr>
          <w:rFonts w:ascii="Leelawadee UI Semilight" w:hAnsi="Leelawadee UI Semilight" w:cs="Leelawadee UI Semilight"/>
          <w:color w:val="000000"/>
        </w:rPr>
        <w:t xml:space="preserve"> </w:t>
      </w:r>
    </w:p>
    <w:p w14:paraId="3F984277"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bookmarkStart w:id="1" w:name="_Toc509347351"/>
      <w:r w:rsidRPr="00EC467D">
        <w:rPr>
          <w:rFonts w:ascii="Leelawadee UI Semilight" w:eastAsiaTheme="majorEastAsia" w:hAnsi="Leelawadee UI Semilight" w:cs="Leelawadee UI Semilight"/>
          <w:b/>
          <w:color w:val="000000"/>
        </w:rPr>
        <w:t>Riesgos que una entidad podría gestionar mediante coberturas</w:t>
      </w:r>
      <w:bookmarkEnd w:id="1"/>
      <w:r w:rsidRPr="00EC467D">
        <w:rPr>
          <w:rFonts w:ascii="Leelawadee UI Semilight" w:eastAsiaTheme="majorEastAsia" w:hAnsi="Leelawadee UI Semilight" w:cs="Leelawadee UI Semilight"/>
          <w:b/>
          <w:color w:val="000000"/>
        </w:rPr>
        <w:t xml:space="preserve"> </w:t>
      </w:r>
    </w:p>
    <w:p w14:paraId="4F3A99C9" w14:textId="77777777" w:rsidR="00EC467D" w:rsidRPr="00EC467D" w:rsidRDefault="00EC467D" w:rsidP="00EC467D">
      <w:pPr>
        <w:jc w:val="both"/>
        <w:rPr>
          <w:rFonts w:ascii="Leelawadee UI Semilight" w:hAnsi="Leelawadee UI Semilight" w:cs="Leelawadee UI Semilight"/>
        </w:rPr>
      </w:pPr>
      <w:r w:rsidRPr="00EC467D">
        <w:rPr>
          <w:rFonts w:ascii="Leelawadee UI Semilight" w:hAnsi="Leelawadee UI Semilight" w:cs="Leelawadee UI Semilight"/>
        </w:rPr>
        <w:t>Según Moreno (2009) los riesgos que se pueden gestionar por coberturas son las siguientes:</w:t>
      </w:r>
    </w:p>
    <w:p w14:paraId="162A8399" w14:textId="77777777" w:rsidR="00EC467D" w:rsidRPr="00EC467D" w:rsidRDefault="00EC467D" w:rsidP="00EC467D">
      <w:pPr>
        <w:pStyle w:val="Prrafodelista"/>
        <w:numPr>
          <w:ilvl w:val="0"/>
          <w:numId w:val="3"/>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 xml:space="preserve">Transacciones en las que la empresa puede estar expuesta a un riesgo de </w:t>
      </w:r>
      <w:r w:rsidRPr="00EC467D">
        <w:rPr>
          <w:rFonts w:ascii="Leelawadee UI Semilight" w:hAnsi="Leelawadee UI Semilight" w:cs="Leelawadee UI Semilight"/>
          <w:sz w:val="24"/>
          <w:szCs w:val="24"/>
          <w:u w:val="single"/>
        </w:rPr>
        <w:t>cambio de valor razonable</w:t>
      </w:r>
      <w:r w:rsidRPr="00EC467D">
        <w:rPr>
          <w:rFonts w:ascii="Leelawadee UI Semilight" w:hAnsi="Leelawadee UI Semilight" w:cs="Leelawadee UI Semilight"/>
          <w:sz w:val="24"/>
          <w:szCs w:val="24"/>
        </w:rPr>
        <w:t xml:space="preserve"> de sus activos, pasivos reconocidos en el balance o de compromisos en firme no reconocidos o de una porción de activos y pasivos o compromisos en firme que pueda afectar el resultado del ejercicio.</w:t>
      </w:r>
    </w:p>
    <w:p w14:paraId="7807344F" w14:textId="77777777" w:rsidR="00EC467D" w:rsidRPr="00EC467D" w:rsidRDefault="00EC467D" w:rsidP="00EC467D">
      <w:pPr>
        <w:pStyle w:val="Prrafodelista"/>
        <w:numPr>
          <w:ilvl w:val="0"/>
          <w:numId w:val="3"/>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 xml:space="preserve">Riesgo por variación de los flujos de efectivo. </w:t>
      </w:r>
    </w:p>
    <w:p w14:paraId="476EAF96" w14:textId="77777777" w:rsidR="00EC467D" w:rsidRPr="00EC467D" w:rsidRDefault="00EC467D" w:rsidP="00EC467D">
      <w:pPr>
        <w:pStyle w:val="Prrafodelista"/>
        <w:numPr>
          <w:ilvl w:val="0"/>
          <w:numId w:val="3"/>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Inversiones netas de un negocio en el extranjero. (p.75).</w:t>
      </w:r>
    </w:p>
    <w:p w14:paraId="7C52F51D" w14:textId="77777777" w:rsidR="00EC467D" w:rsidRPr="00EC467D" w:rsidRDefault="00EC467D" w:rsidP="00EC467D">
      <w:pPr>
        <w:jc w:val="both"/>
        <w:rPr>
          <w:rFonts w:ascii="Leelawadee UI Semilight" w:hAnsi="Leelawadee UI Semilight" w:cs="Leelawadee UI Semilight"/>
        </w:rPr>
      </w:pPr>
      <w:r w:rsidRPr="00EC467D">
        <w:rPr>
          <w:rFonts w:ascii="Leelawadee UI Semilight" w:hAnsi="Leelawadee UI Semilight" w:cs="Leelawadee UI Semilight"/>
        </w:rPr>
        <w:t>Otros posibles riesgos son:</w:t>
      </w:r>
    </w:p>
    <w:p w14:paraId="159261C2"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Movimientos de los precios de las materias primas.</w:t>
      </w:r>
    </w:p>
    <w:p w14:paraId="2BBD0BA5"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Variaciones en los tipos de cambio de las divisas en las que se denominan dichas materias primas.</w:t>
      </w:r>
    </w:p>
    <w:p w14:paraId="0E748D50"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Oscilaciones en el precio de la energía, que se necesita para procesar dichas materias.</w:t>
      </w:r>
    </w:p>
    <w:p w14:paraId="285DFDC5"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Cambios en el tipo de cambio de su propia moneda (si aumenta, reducirá su competitividad en el exterior, ocurriendo lo contrario si desciende, si se expresa en su forma indirecta).</w:t>
      </w:r>
    </w:p>
    <w:p w14:paraId="38DD41E3"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Cambios   en   las   tasas     de   interés   de   su país, que   afectaran   al   coste de   su endeudamiento y, posiblemente, a sus ingresos por ventas.</w:t>
      </w:r>
    </w:p>
    <w:p w14:paraId="1B357AB5" w14:textId="77777777" w:rsidR="00EC467D" w:rsidRPr="00EC467D" w:rsidRDefault="00EC467D" w:rsidP="00EC467D">
      <w:pPr>
        <w:pStyle w:val="Prrafodelista"/>
        <w:numPr>
          <w:ilvl w:val="0"/>
          <w:numId w:val="4"/>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lastRenderedPageBreak/>
        <w:t>Alteraciones   en   los   tipos   de   interés   de   otros   países, que   afectaran   a   sus competidores y, por tanto, al comportamiento de las ventas de la empresa, etc.</w:t>
      </w:r>
      <w:sdt>
        <w:sdtPr>
          <w:rPr>
            <w:rFonts w:ascii="Leelawadee UI Semilight" w:hAnsi="Leelawadee UI Semilight" w:cs="Leelawadee UI Semilight"/>
            <w:sz w:val="24"/>
            <w:szCs w:val="24"/>
          </w:rPr>
          <w:id w:val="2012863453"/>
          <w:citation/>
        </w:sdtPr>
        <w:sdtEndPr/>
        <w:sdtContent>
          <w:r w:rsidRPr="00EC467D">
            <w:rPr>
              <w:rFonts w:ascii="Leelawadee UI Semilight" w:hAnsi="Leelawadee UI Semilight" w:cs="Leelawadee UI Semilight"/>
              <w:sz w:val="24"/>
              <w:szCs w:val="24"/>
            </w:rPr>
            <w:fldChar w:fldCharType="begin"/>
          </w:r>
          <w:r w:rsidRPr="00EC467D">
            <w:rPr>
              <w:rFonts w:ascii="Leelawadee UI Semilight" w:hAnsi="Leelawadee UI Semilight" w:cs="Leelawadee UI Semilight"/>
              <w:sz w:val="24"/>
              <w:szCs w:val="24"/>
            </w:rPr>
            <w:instrText xml:space="preserve"> CITATION Eye07 \l 9226 </w:instrText>
          </w:r>
          <w:r w:rsidRPr="00EC467D">
            <w:rPr>
              <w:rFonts w:ascii="Leelawadee UI Semilight" w:hAnsi="Leelawadee UI Semilight" w:cs="Leelawadee UI Semilight"/>
              <w:sz w:val="24"/>
              <w:szCs w:val="24"/>
            </w:rPr>
            <w:fldChar w:fldCharType="separate"/>
          </w:r>
          <w:r w:rsidRPr="00EC467D">
            <w:rPr>
              <w:rFonts w:ascii="Leelawadee UI Semilight" w:hAnsi="Leelawadee UI Semilight" w:cs="Leelawadee UI Semilight"/>
              <w:noProof/>
              <w:sz w:val="24"/>
              <w:szCs w:val="24"/>
            </w:rPr>
            <w:t xml:space="preserve"> (Bello Caballero, 2007)</w:t>
          </w:r>
          <w:r w:rsidRPr="00EC467D">
            <w:rPr>
              <w:rFonts w:ascii="Leelawadee UI Semilight" w:hAnsi="Leelawadee UI Semilight" w:cs="Leelawadee UI Semilight"/>
              <w:sz w:val="24"/>
              <w:szCs w:val="24"/>
            </w:rPr>
            <w:fldChar w:fldCharType="end"/>
          </w:r>
        </w:sdtContent>
      </w:sdt>
    </w:p>
    <w:p w14:paraId="6DB1320A" w14:textId="77777777" w:rsidR="00EC467D" w:rsidRPr="00EC467D" w:rsidRDefault="00EC467D" w:rsidP="00EC467D">
      <w:pPr>
        <w:pStyle w:val="Prrafodelista"/>
        <w:jc w:val="both"/>
        <w:rPr>
          <w:rFonts w:ascii="Leelawadee UI Semilight" w:hAnsi="Leelawadee UI Semilight" w:cs="Leelawadee UI Semilight"/>
          <w:sz w:val="24"/>
          <w:szCs w:val="24"/>
        </w:rPr>
      </w:pPr>
    </w:p>
    <w:p w14:paraId="41D9A3FE"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bookmarkStart w:id="2" w:name="_Toc509347352"/>
      <w:r w:rsidRPr="00EC467D">
        <w:rPr>
          <w:rFonts w:ascii="Leelawadee UI Semilight" w:eastAsiaTheme="majorEastAsia" w:hAnsi="Leelawadee UI Semilight" w:cs="Leelawadee UI Semilight"/>
          <w:b/>
          <w:color w:val="000000"/>
        </w:rPr>
        <w:t>Ejemplos de partidas cubiertas</w:t>
      </w:r>
      <w:bookmarkEnd w:id="2"/>
      <w:r w:rsidRPr="00EC467D">
        <w:rPr>
          <w:rFonts w:ascii="Leelawadee UI Semilight" w:eastAsiaTheme="majorEastAsia" w:hAnsi="Leelawadee UI Semilight" w:cs="Leelawadee UI Semilight"/>
          <w:b/>
          <w:color w:val="000000"/>
        </w:rPr>
        <w:t xml:space="preserve"> </w:t>
      </w:r>
    </w:p>
    <w:p w14:paraId="55751293" w14:textId="77777777" w:rsidR="00EC467D" w:rsidRPr="00EC467D" w:rsidRDefault="00EC467D" w:rsidP="00EC467D">
      <w:pPr>
        <w:pStyle w:val="Prrafodelista"/>
        <w:tabs>
          <w:tab w:val="left" w:pos="940"/>
          <w:tab w:val="left" w:pos="1440"/>
        </w:tabs>
        <w:autoSpaceDE w:val="0"/>
        <w:autoSpaceDN w:val="0"/>
        <w:adjustRightInd w:val="0"/>
        <w:spacing w:after="240" w:line="360" w:lineRule="atLeast"/>
        <w:ind w:left="560"/>
        <w:jc w:val="both"/>
        <w:rPr>
          <w:rFonts w:ascii="Leelawadee UI Semilight" w:eastAsia="MS Mincho" w:hAnsi="Leelawadee UI Semilight" w:cs="Leelawadee UI Semilight"/>
          <w:color w:val="000000"/>
          <w:sz w:val="24"/>
          <w:szCs w:val="24"/>
        </w:rPr>
      </w:pPr>
    </w:p>
    <w:p w14:paraId="0756804D" w14:textId="77777777" w:rsidR="00EC467D" w:rsidRPr="00EC467D" w:rsidRDefault="00EC467D" w:rsidP="00EC467D">
      <w:pPr>
        <w:pStyle w:val="Prrafodelista"/>
        <w:numPr>
          <w:ilvl w:val="0"/>
          <w:numId w:val="5"/>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Activos y pasivos individuales o grupo de ellos reconocidos en el balance. Ejemplo: Obligaciones, prestamos, cuentas por cobrar.</w:t>
      </w:r>
    </w:p>
    <w:p w14:paraId="1C84B6DB" w14:textId="77777777" w:rsidR="00EC467D" w:rsidRPr="00EC467D" w:rsidRDefault="00EC467D" w:rsidP="00EC467D">
      <w:pPr>
        <w:pStyle w:val="Prrafodelista"/>
        <w:numPr>
          <w:ilvl w:val="0"/>
          <w:numId w:val="5"/>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 xml:space="preserve">Compromisos firmes no reconocidos en el balance. Ejemplo: Alquileres, pagos/cobros derivados de un contrato que todavía no se han producido, etc. </w:t>
      </w:r>
    </w:p>
    <w:p w14:paraId="2A67C1D5" w14:textId="77777777" w:rsidR="00EC467D" w:rsidRPr="00EC467D" w:rsidRDefault="00EC467D" w:rsidP="00EC467D">
      <w:pPr>
        <w:pStyle w:val="Prrafodelista"/>
        <w:numPr>
          <w:ilvl w:val="0"/>
          <w:numId w:val="5"/>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 xml:space="preserve">Transacciones futuras altamente probables. Ejemplo: Compras y ventas futuras. </w:t>
      </w:r>
    </w:p>
    <w:p w14:paraId="6983CCC9" w14:textId="77777777" w:rsidR="00EC467D" w:rsidRPr="00EC467D" w:rsidRDefault="00EC467D" w:rsidP="00EC467D">
      <w:pPr>
        <w:pStyle w:val="Prrafodelista"/>
        <w:numPr>
          <w:ilvl w:val="0"/>
          <w:numId w:val="5"/>
        </w:numPr>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Inversión neta en una entidad extranjera. (Deloitte, 2011)</w:t>
      </w:r>
    </w:p>
    <w:p w14:paraId="00543502" w14:textId="77777777" w:rsidR="00EC467D" w:rsidRPr="00EC467D" w:rsidRDefault="00EC467D" w:rsidP="00EC467D">
      <w:pPr>
        <w:pStyle w:val="Prrafodelista"/>
        <w:tabs>
          <w:tab w:val="left" w:pos="940"/>
          <w:tab w:val="left" w:pos="1440"/>
        </w:tabs>
        <w:autoSpaceDE w:val="0"/>
        <w:autoSpaceDN w:val="0"/>
        <w:adjustRightInd w:val="0"/>
        <w:spacing w:after="240" w:line="360" w:lineRule="atLeast"/>
        <w:ind w:left="560"/>
        <w:jc w:val="both"/>
        <w:rPr>
          <w:rFonts w:ascii="Leelawadee UI Semilight" w:eastAsia="MS Mincho" w:hAnsi="Leelawadee UI Semilight" w:cs="Leelawadee UI Semilight"/>
          <w:color w:val="000000"/>
          <w:sz w:val="24"/>
          <w:szCs w:val="24"/>
        </w:rPr>
      </w:pPr>
    </w:p>
    <w:p w14:paraId="3982361D"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bookmarkStart w:id="3" w:name="_Toc509347353"/>
      <w:r w:rsidRPr="00EC467D">
        <w:rPr>
          <w:rFonts w:ascii="Leelawadee UI Semilight" w:eastAsiaTheme="majorEastAsia" w:hAnsi="Leelawadee UI Semilight" w:cs="Leelawadee UI Semilight"/>
          <w:b/>
          <w:color w:val="000000"/>
        </w:rPr>
        <w:t>Concepto de instrumentos de cobertura</w:t>
      </w:r>
      <w:bookmarkEnd w:id="3"/>
      <w:r w:rsidRPr="00EC467D">
        <w:rPr>
          <w:rFonts w:ascii="Leelawadee UI Semilight" w:eastAsiaTheme="majorEastAsia" w:hAnsi="Leelawadee UI Semilight" w:cs="Leelawadee UI Semilight"/>
          <w:b/>
          <w:color w:val="000000"/>
        </w:rPr>
        <w:t xml:space="preserve"> </w:t>
      </w:r>
    </w:p>
    <w:p w14:paraId="5362CCB4" w14:textId="77777777" w:rsidR="00EC467D" w:rsidRDefault="00EC467D" w:rsidP="00EC467D">
      <w:pPr>
        <w:spacing w:line="360" w:lineRule="auto"/>
        <w:jc w:val="both"/>
        <w:rPr>
          <w:rFonts w:ascii="Leelawadee UI Semilight" w:hAnsi="Leelawadee UI Semilight" w:cs="Leelawadee UI Semilight"/>
        </w:rPr>
      </w:pPr>
    </w:p>
    <w:p w14:paraId="1053F946" w14:textId="77777777" w:rsidR="008A1D13" w:rsidRDefault="00EC467D" w:rsidP="008A1D13">
      <w:pPr>
        <w:spacing w:line="360" w:lineRule="auto"/>
        <w:jc w:val="both"/>
        <w:rPr>
          <w:rFonts w:ascii="Leelawadee UI Semilight" w:eastAsia="MS Mincho" w:hAnsi="Leelawadee UI Semilight" w:cs="Leelawadee UI Semilight"/>
          <w:color w:val="000000"/>
          <w:lang w:val="es-CO"/>
        </w:rPr>
      </w:pPr>
      <w:r w:rsidRPr="00EC467D">
        <w:rPr>
          <w:rFonts w:ascii="Leelawadee UI Semilight" w:hAnsi="Leelawadee UI Semilight" w:cs="Leelawadee UI Semilight"/>
        </w:rPr>
        <w:t>Es un instrumento financiero que, en una operación de cobertura, es designado para cubrir un riesgo específicamente identificado que puede tener impacto en la cuenta de pérdidas y ganancias como consecuencia de variaciones en el valor razonable o en flujos de efectivo de una o varias partidas cubiertas. Con carácter general, los instrumentos que se pueden designar como instrumentos de cobertura son los derivados. (Plan General Contable)</w:t>
      </w:r>
      <w:bookmarkStart w:id="4" w:name="_Toc509347354"/>
    </w:p>
    <w:p w14:paraId="008EAAC8" w14:textId="77777777" w:rsidR="008A1D13" w:rsidRDefault="008A1D13" w:rsidP="008A1D13">
      <w:pPr>
        <w:spacing w:line="360" w:lineRule="auto"/>
        <w:jc w:val="both"/>
        <w:rPr>
          <w:rFonts w:ascii="Leelawadee UI Semilight" w:eastAsia="MS Mincho" w:hAnsi="Leelawadee UI Semilight" w:cs="Leelawadee UI Semilight"/>
          <w:color w:val="000000"/>
          <w:lang w:val="es-CO"/>
        </w:rPr>
      </w:pPr>
    </w:p>
    <w:p w14:paraId="7C3A5E8B" w14:textId="77777777" w:rsidR="00EC467D" w:rsidRPr="008A1D13" w:rsidRDefault="00EC467D" w:rsidP="008A1D13">
      <w:pPr>
        <w:spacing w:line="360" w:lineRule="auto"/>
        <w:jc w:val="both"/>
        <w:rPr>
          <w:rFonts w:ascii="Leelawadee UI Semilight" w:eastAsia="MS Mincho" w:hAnsi="Leelawadee UI Semilight" w:cs="Leelawadee UI Semilight"/>
          <w:color w:val="000000"/>
          <w:lang w:val="es-CO"/>
        </w:rPr>
      </w:pPr>
      <w:r w:rsidRPr="00EC467D">
        <w:rPr>
          <w:rFonts w:ascii="Leelawadee UI Semilight" w:eastAsiaTheme="majorEastAsia" w:hAnsi="Leelawadee UI Semilight" w:cs="Leelawadee UI Semilight"/>
          <w:b/>
          <w:color w:val="000000"/>
        </w:rPr>
        <w:t>Condiciones para optar por la contabilidad de coberturas</w:t>
      </w:r>
      <w:bookmarkEnd w:id="4"/>
    </w:p>
    <w:p w14:paraId="6649FAEC" w14:textId="77777777" w:rsidR="00EC467D" w:rsidRPr="00EC467D" w:rsidRDefault="00EC467D" w:rsidP="00EC467D">
      <w:pPr>
        <w:spacing w:line="360" w:lineRule="auto"/>
        <w:jc w:val="both"/>
        <w:rPr>
          <w:rFonts w:ascii="Leelawadee UI Semilight" w:hAnsi="Leelawadee UI Semilight" w:cs="Leelawadee UI Semilight"/>
        </w:rPr>
      </w:pPr>
      <w:r w:rsidRPr="00EC467D">
        <w:rPr>
          <w:rFonts w:ascii="Leelawadee UI Semilight" w:hAnsi="Leelawadee UI Semilight" w:cs="Leelawadee UI Semilight"/>
        </w:rPr>
        <w:t>La NIC 39 establece en su párrafo 88 como requisitos para poder utilizar esta contabilidad los siguientes:</w:t>
      </w:r>
    </w:p>
    <w:p w14:paraId="3F2C21DA" w14:textId="77777777" w:rsidR="00EC467D" w:rsidRPr="00EC467D" w:rsidRDefault="00EC467D" w:rsidP="00EC467D">
      <w:pPr>
        <w:pStyle w:val="Prrafodelista"/>
        <w:numPr>
          <w:ilvl w:val="0"/>
          <w:numId w:val="1"/>
        </w:numPr>
        <w:spacing w:line="360" w:lineRule="auto"/>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 xml:space="preserve">En el momento de iniciar la cobertura, existe designación y documentación formal de la relación de cobertura, así como de la estrategia y del objetivo de la empresa, respecto a la gestión del riesgo asumidos con la realización de la operación de cobertura. Esta documentación debe incluir la identificación del </w:t>
      </w:r>
      <w:r w:rsidRPr="00EC467D">
        <w:rPr>
          <w:rFonts w:ascii="Leelawadee UI Semilight" w:hAnsi="Leelawadee UI Semilight" w:cs="Leelawadee UI Semilight"/>
          <w:sz w:val="24"/>
          <w:szCs w:val="24"/>
        </w:rPr>
        <w:lastRenderedPageBreak/>
        <w:t>instrumento de cobertura, de la partida o transacción a cubrir y de la naturaleza del riesgo que se está cubriendo, poniendo de manifiesto cómo la empresa medirá la </w:t>
      </w:r>
      <w:hyperlink r:id="rId6" w:history="1">
        <w:r w:rsidRPr="00EC467D">
          <w:rPr>
            <w:rStyle w:val="Hipervnculo"/>
            <w:rFonts w:ascii="Leelawadee UI Semilight" w:hAnsi="Leelawadee UI Semilight" w:cs="Leelawadee UI Semilight"/>
            <w:sz w:val="24"/>
            <w:szCs w:val="24"/>
          </w:rPr>
          <w:t>eficacia</w:t>
        </w:r>
      </w:hyperlink>
      <w:r w:rsidRPr="00EC467D">
        <w:rPr>
          <w:rFonts w:ascii="Leelawadee UI Semilight" w:hAnsi="Leelawadee UI Semilight" w:cs="Leelawadee UI Semilight"/>
          <w:sz w:val="24"/>
          <w:szCs w:val="24"/>
        </w:rPr>
        <w:t xml:space="preserve"> del instrumento de cobertura al compensar la exposición a los cambios de la partida cubierta, ya sea en el valor razonable o en los flujos de efectivo, que se atribuyen al riesgo cubierto.</w:t>
      </w:r>
    </w:p>
    <w:p w14:paraId="1B1B742D" w14:textId="77777777" w:rsidR="00EC467D" w:rsidRPr="00EC467D" w:rsidRDefault="00EC467D" w:rsidP="00EC467D">
      <w:pPr>
        <w:pStyle w:val="Prrafodelista"/>
        <w:numPr>
          <w:ilvl w:val="0"/>
          <w:numId w:val="1"/>
        </w:numPr>
        <w:spacing w:line="360" w:lineRule="auto"/>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Se espera que la cobertura sea altamente eficaz en la compensación alcanzada de los cambios en el valor razonable o en los flujos de efectivo que se atribuyan al riesgo cubierto, consecuente con la estrategia en la gestión del riesgo, inicialmente documentada, para tal relación de cobertura en particular.</w:t>
      </w:r>
    </w:p>
    <w:p w14:paraId="07449CDF" w14:textId="77777777" w:rsidR="00EC467D" w:rsidRPr="00EC467D" w:rsidRDefault="00EC467D" w:rsidP="00EC467D">
      <w:pPr>
        <w:pStyle w:val="Prrafodelista"/>
        <w:numPr>
          <w:ilvl w:val="0"/>
          <w:numId w:val="1"/>
        </w:numPr>
        <w:spacing w:line="360" w:lineRule="auto"/>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Para las operaciones de cobertura de flujos de efectivo, la transacción prevista, objeto de la cobertura, debe ser altamente probable y debe además presentar una exposición a las variaciones en los flujos de efectivo que podrían, en último extremo, afectar a la ganancia a la pérdida neta.</w:t>
      </w:r>
    </w:p>
    <w:p w14:paraId="6E42C52A" w14:textId="77777777" w:rsidR="00EC467D" w:rsidRPr="00EC467D" w:rsidRDefault="00EC467D" w:rsidP="00EC467D">
      <w:pPr>
        <w:pStyle w:val="Prrafodelista"/>
        <w:numPr>
          <w:ilvl w:val="0"/>
          <w:numId w:val="1"/>
        </w:numPr>
        <w:spacing w:line="360" w:lineRule="auto"/>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La eficacia de la cobertura ha de poderse medir de forma fiable, esto es, tanto la medición del importe del valor razonable como de los flujos de efectivo de la partida cubierta, como el valor razonable que corresponda al instrumento de cobertura.</w:t>
      </w:r>
    </w:p>
    <w:p w14:paraId="1292D844" w14:textId="77777777" w:rsidR="00EC467D" w:rsidRPr="00EC467D" w:rsidRDefault="00EC467D" w:rsidP="00EC467D">
      <w:pPr>
        <w:pStyle w:val="Prrafodelista"/>
        <w:numPr>
          <w:ilvl w:val="0"/>
          <w:numId w:val="1"/>
        </w:numPr>
        <w:spacing w:line="360" w:lineRule="auto"/>
        <w:jc w:val="both"/>
        <w:rPr>
          <w:rFonts w:ascii="Leelawadee UI Semilight" w:hAnsi="Leelawadee UI Semilight" w:cs="Leelawadee UI Semilight"/>
          <w:sz w:val="24"/>
          <w:szCs w:val="24"/>
        </w:rPr>
      </w:pPr>
      <w:r w:rsidRPr="00EC467D">
        <w:rPr>
          <w:rFonts w:ascii="Leelawadee UI Semilight" w:hAnsi="Leelawadee UI Semilight" w:cs="Leelawadee UI Semilight"/>
          <w:sz w:val="24"/>
          <w:szCs w:val="24"/>
        </w:rPr>
        <w:t>La cobertura es evaluada en un contexto de gestión continuada de la empresa, y realmente se puede concluir que ha sido altamente efectiva a lo largo de todo el periodo contable.</w:t>
      </w:r>
    </w:p>
    <w:p w14:paraId="267F73DC" w14:textId="77777777" w:rsid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color w:val="000000"/>
          <w:lang w:val="es-CO"/>
        </w:rPr>
      </w:pPr>
      <w:r w:rsidRPr="00EC467D">
        <w:rPr>
          <w:rFonts w:ascii="Leelawadee UI Semilight" w:hAnsi="Leelawadee UI Semilight" w:cs="Leelawadee UI Semilight"/>
        </w:rPr>
        <w:t>La contabilidad de cobertura va a requerir de un extenso y complejo análisis de los elementos e instrumentos que van a formar parte de ella, así como de una evaluación al inicio y durante la cobertura para comprobar que los resultados del instrumento y elemento cubierto se compensarán y, una vez iniciado al proceso, realmente se están compensando. Por otro lado, existen una serie de requisitos formales, pues habrá que preparar una documentación específica sin la cual no será válida la utilización de la contabilidad de cobertura, donde se incluirá la designación del instrumento y elemento objeto, identificándolos como integrantes de esta, así como los procedimientos y resultados de la evaluación. (Norma Internacional de Contabilidad 39, 2005).</w:t>
      </w:r>
      <w:r w:rsidRPr="00EC467D">
        <w:rPr>
          <w:rFonts w:ascii="Leelawadee UI Semilight" w:hAnsi="Leelawadee UI Semilight" w:cs="Leelawadee UI Semilight"/>
          <w:color w:val="000000"/>
          <w:lang w:val="es-CO"/>
        </w:rPr>
        <w:t xml:space="preserve"> </w:t>
      </w:r>
      <w:bookmarkStart w:id="5" w:name="_Toc509347355"/>
    </w:p>
    <w:p w14:paraId="028C7985" w14:textId="77777777" w:rsid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color w:val="000000"/>
          <w:lang w:val="es-CO"/>
        </w:rPr>
      </w:pPr>
    </w:p>
    <w:p w14:paraId="621E9870" w14:textId="77777777" w:rsidR="00EC467D" w:rsidRP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color w:val="000000"/>
          <w:lang w:val="es-CO"/>
        </w:rPr>
      </w:pPr>
      <w:r w:rsidRPr="00EC467D">
        <w:rPr>
          <w:rFonts w:ascii="Leelawadee UI Semilight" w:eastAsiaTheme="majorEastAsia" w:hAnsi="Leelawadee UI Semilight" w:cs="Leelawadee UI Semilight"/>
          <w:b/>
          <w:color w:val="000000"/>
        </w:rPr>
        <w:t>Definición de relación de cobertura</w:t>
      </w:r>
      <w:bookmarkEnd w:id="5"/>
      <w:r w:rsidRPr="00EC467D">
        <w:rPr>
          <w:rFonts w:ascii="Leelawadee UI Semilight" w:eastAsiaTheme="majorEastAsia" w:hAnsi="Leelawadee UI Semilight" w:cs="Leelawadee UI Semilight"/>
          <w:b/>
          <w:color w:val="000000"/>
        </w:rPr>
        <w:t xml:space="preserve"> </w:t>
      </w:r>
    </w:p>
    <w:p w14:paraId="4ACAF893" w14:textId="77777777" w:rsidR="00EC467D" w:rsidRP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rPr>
      </w:pPr>
      <w:r w:rsidRPr="00EC467D">
        <w:rPr>
          <w:rFonts w:ascii="Leelawadee UI Semilight" w:hAnsi="Leelawadee UI Semilight" w:cs="Leelawadee UI Semilight"/>
        </w:rPr>
        <w:t xml:space="preserve">La aplicación de una cobertura en la contabilidad es opcional y lo dice la NIIC39 ‘’Las coberturas son un procedimiento para minimizar, al máximo posible, el impacto financiero por una materialización de un riesgo determinado en el patrimonio y la situación financiera de una entidad’’ </w:t>
      </w:r>
      <w:sdt>
        <w:sdtPr>
          <w:rPr>
            <w:rFonts w:ascii="Leelawadee UI Semilight" w:hAnsi="Leelawadee UI Semilight" w:cs="Leelawadee UI Semilight"/>
          </w:rPr>
          <w:id w:val="-98341704"/>
          <w:citation/>
        </w:sdtPr>
        <w:sdtEndPr/>
        <w:sdtContent>
          <w:r w:rsidRPr="00EC467D">
            <w:rPr>
              <w:rFonts w:ascii="Leelawadee UI Semilight" w:hAnsi="Leelawadee UI Semilight" w:cs="Leelawadee UI Semilight"/>
            </w:rPr>
            <w:fldChar w:fldCharType="begin"/>
          </w:r>
          <w:r w:rsidRPr="00EC467D">
            <w:rPr>
              <w:rFonts w:ascii="Leelawadee UI Semilight" w:hAnsi="Leelawadee UI Semilight" w:cs="Leelawadee UI Semilight"/>
            </w:rPr>
            <w:instrText xml:space="preserve">CITATION MarcadorDePosición1 \l 9226 </w:instrText>
          </w:r>
          <w:r w:rsidRPr="00EC467D">
            <w:rPr>
              <w:rFonts w:ascii="Leelawadee UI Semilight" w:hAnsi="Leelawadee UI Semilight" w:cs="Leelawadee UI Semilight"/>
            </w:rPr>
            <w:fldChar w:fldCharType="separate"/>
          </w:r>
          <w:r w:rsidRPr="00EC467D">
            <w:rPr>
              <w:rFonts w:ascii="Leelawadee UI Semilight" w:hAnsi="Leelawadee UI Semilight" w:cs="Leelawadee UI Semilight"/>
              <w:noProof/>
            </w:rPr>
            <w:t>(Norma internacional de contabilidad N39, 2006)</w:t>
          </w:r>
          <w:r w:rsidRPr="00EC467D">
            <w:rPr>
              <w:rFonts w:ascii="Leelawadee UI Semilight" w:hAnsi="Leelawadee UI Semilight" w:cs="Leelawadee UI Semilight"/>
            </w:rPr>
            <w:fldChar w:fldCharType="end"/>
          </w:r>
        </w:sdtContent>
      </w:sdt>
      <w:r w:rsidRPr="00EC467D">
        <w:rPr>
          <w:rFonts w:ascii="Leelawadee UI Semilight" w:hAnsi="Leelawadee UI Semilight" w:cs="Leelawadee UI Semilight"/>
        </w:rPr>
        <w:t xml:space="preserve">. La cobertura está muy ligada a derivados financieros, que son los instrumentos del que se vale determinada para proteger sus activos y pasivos para una empresa o individuos. La operación consiste en comprar o vender un activo financiero (ya sean acciones, valores de renta fija o renta variable, tipos de interés, opciones o futuros) relacionado con el activo o pasivo cuyo riesgo se quiere cubrir </w:t>
      </w:r>
      <w:sdt>
        <w:sdtPr>
          <w:rPr>
            <w:rFonts w:ascii="Leelawadee UI Semilight" w:hAnsi="Leelawadee UI Semilight" w:cs="Leelawadee UI Semilight"/>
          </w:rPr>
          <w:id w:val="-1316950911"/>
          <w:citation/>
        </w:sdtPr>
        <w:sdtEndPr/>
        <w:sdtContent>
          <w:r w:rsidRPr="00EC467D">
            <w:rPr>
              <w:rFonts w:ascii="Leelawadee UI Semilight" w:hAnsi="Leelawadee UI Semilight" w:cs="Leelawadee UI Semilight"/>
            </w:rPr>
            <w:fldChar w:fldCharType="begin"/>
          </w:r>
          <w:r w:rsidRPr="00EC467D">
            <w:rPr>
              <w:rFonts w:ascii="Leelawadee UI Semilight" w:hAnsi="Leelawadee UI Semilight" w:cs="Leelawadee UI Semilight"/>
            </w:rPr>
            <w:instrText xml:space="preserve"> CITATION Deb15 \l 9226 </w:instrText>
          </w:r>
          <w:r w:rsidRPr="00EC467D">
            <w:rPr>
              <w:rFonts w:ascii="Leelawadee UI Semilight" w:hAnsi="Leelawadee UI Semilight" w:cs="Leelawadee UI Semilight"/>
            </w:rPr>
            <w:fldChar w:fldCharType="separate"/>
          </w:r>
          <w:r w:rsidRPr="00EC467D">
            <w:rPr>
              <w:rFonts w:ascii="Leelawadee UI Semilight" w:hAnsi="Leelawadee UI Semilight" w:cs="Leelawadee UI Semilight"/>
              <w:noProof/>
            </w:rPr>
            <w:t>(Debitoor, 2015)</w:t>
          </w:r>
          <w:r w:rsidRPr="00EC467D">
            <w:rPr>
              <w:rFonts w:ascii="Leelawadee UI Semilight" w:hAnsi="Leelawadee UI Semilight" w:cs="Leelawadee UI Semilight"/>
            </w:rPr>
            <w:fldChar w:fldCharType="end"/>
          </w:r>
        </w:sdtContent>
      </w:sdt>
      <w:r w:rsidRPr="00EC467D">
        <w:rPr>
          <w:rFonts w:ascii="Leelawadee UI Semilight" w:hAnsi="Leelawadee UI Semilight" w:cs="Leelawadee UI Semilight"/>
        </w:rPr>
        <w:t>.</w:t>
      </w:r>
    </w:p>
    <w:p w14:paraId="67AF01DB" w14:textId="77777777" w:rsidR="00EC467D" w:rsidRPr="00EC467D" w:rsidRDefault="00EC467D" w:rsidP="00EC467D">
      <w:pPr>
        <w:jc w:val="both"/>
        <w:rPr>
          <w:rFonts w:ascii="Leelawadee UI Semilight" w:hAnsi="Leelawadee UI Semilight" w:cs="Leelawadee UI Semilight"/>
          <w:color w:val="000000" w:themeColor="text1"/>
        </w:rPr>
      </w:pPr>
    </w:p>
    <w:p w14:paraId="3FE72253" w14:textId="77777777" w:rsidR="00EC467D" w:rsidRPr="00EC467D" w:rsidRDefault="00EC467D" w:rsidP="00EC467D">
      <w:pPr>
        <w:tabs>
          <w:tab w:val="left" w:pos="940"/>
          <w:tab w:val="left" w:pos="1440"/>
        </w:tabs>
        <w:autoSpaceDE w:val="0"/>
        <w:autoSpaceDN w:val="0"/>
        <w:adjustRightInd w:val="0"/>
        <w:spacing w:after="240" w:line="360" w:lineRule="atLeast"/>
        <w:jc w:val="both"/>
        <w:outlineLvl w:val="1"/>
        <w:rPr>
          <w:rFonts w:ascii="Leelawadee UI Semilight" w:eastAsiaTheme="majorEastAsia" w:hAnsi="Leelawadee UI Semilight" w:cs="Leelawadee UI Semilight"/>
          <w:b/>
          <w:color w:val="000000"/>
        </w:rPr>
      </w:pPr>
      <w:bookmarkStart w:id="6" w:name="_Toc509347356"/>
      <w:r w:rsidRPr="00EC467D">
        <w:rPr>
          <w:rFonts w:ascii="Leelawadee UI Semilight" w:eastAsiaTheme="majorEastAsia" w:hAnsi="Leelawadee UI Semilight" w:cs="Leelawadee UI Semilight"/>
          <w:b/>
          <w:color w:val="000000"/>
        </w:rPr>
        <w:t>Definición de eficacia de una cobertura</w:t>
      </w:r>
      <w:bookmarkEnd w:id="6"/>
      <w:r w:rsidRPr="00EC467D">
        <w:rPr>
          <w:rFonts w:ascii="Leelawadee UI Semilight" w:eastAsiaTheme="majorEastAsia" w:hAnsi="Leelawadee UI Semilight" w:cs="Leelawadee UI Semilight"/>
          <w:b/>
          <w:color w:val="000000"/>
        </w:rPr>
        <w:t xml:space="preserve"> </w:t>
      </w:r>
    </w:p>
    <w:p w14:paraId="211C95FB" w14:textId="77777777" w:rsid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rPr>
      </w:pPr>
      <w:r w:rsidRPr="00EC467D">
        <w:rPr>
          <w:rFonts w:ascii="Leelawadee UI Semilight" w:hAnsi="Leelawadee UI Semilight" w:cs="Leelawadee UI Semilight"/>
        </w:rPr>
        <w:t>La Eficacia de la cobertura es el grado en el que los cambios en el valor razonable o en los flujos de efectivo de la partida cubierta, directamente atribuibles al riesgo cubierto, se compensan con los cambios en el valor razonable o en los flujos de efectivo del instrumento de cobertura. </w:t>
      </w:r>
    </w:p>
    <w:p w14:paraId="60B29121" w14:textId="77777777" w:rsid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rPr>
      </w:pPr>
      <w:r w:rsidRPr="00EC467D">
        <w:rPr>
          <w:rFonts w:ascii="Leelawadee UI Semilight" w:hAnsi="Leelawadee UI Semilight" w:cs="Leelawadee UI Semilight"/>
        </w:rPr>
        <w:t>Dado que la entidad evalúa la eficacia de una cobertura comparando el cambio en el valor razonable o en el flujo de efectivo del instrumento de cobertura y de la partida cubierta, los requisitos de la contabilidad de coberturas no se cumplen si la comparación del instrumento de cobertura se realiza con la posición neta general en lugar de hacerlo con una partida cubierta especifica.</w:t>
      </w:r>
    </w:p>
    <w:p w14:paraId="3D767BC0" w14:textId="77777777" w:rsidR="00EC467D" w:rsidRPr="00EC467D" w:rsidRDefault="00EC467D" w:rsidP="00EC467D">
      <w:pPr>
        <w:tabs>
          <w:tab w:val="left" w:pos="940"/>
          <w:tab w:val="left" w:pos="1440"/>
        </w:tabs>
        <w:autoSpaceDE w:val="0"/>
        <w:autoSpaceDN w:val="0"/>
        <w:adjustRightInd w:val="0"/>
        <w:spacing w:after="240" w:line="360" w:lineRule="atLeast"/>
        <w:jc w:val="both"/>
        <w:rPr>
          <w:rFonts w:ascii="Leelawadee UI Semilight" w:hAnsi="Leelawadee UI Semilight" w:cs="Leelawadee UI Semilight"/>
        </w:rPr>
      </w:pPr>
      <w:r w:rsidRPr="00EC467D">
        <w:rPr>
          <w:rFonts w:ascii="Leelawadee UI Semilight" w:hAnsi="Leelawadee UI Semilight" w:cs="Leelawadee UI Semilight"/>
        </w:rPr>
        <w:t>La eficacia de la cobertura puede medirse con fiabilidad, es decir, el valor razonable o los flujos de efectivo de la partida cubierta que son atribuibles al riesgo cubierto y el valor razonable del instrumento de cobertura pueden medirse con fiabilidad.</w:t>
      </w:r>
      <w:sdt>
        <w:sdtPr>
          <w:rPr>
            <w:rFonts w:ascii="Leelawadee UI Semilight" w:hAnsi="Leelawadee UI Semilight" w:cs="Leelawadee UI Semilight"/>
          </w:rPr>
          <w:id w:val="-1922787878"/>
          <w:citation/>
        </w:sdtPr>
        <w:sdtEndPr/>
        <w:sdtContent>
          <w:r w:rsidRPr="00EC467D">
            <w:rPr>
              <w:rFonts w:ascii="Leelawadee UI Semilight" w:hAnsi="Leelawadee UI Semilight" w:cs="Leelawadee UI Semilight"/>
            </w:rPr>
            <w:fldChar w:fldCharType="begin"/>
          </w:r>
          <w:r w:rsidRPr="00EC467D">
            <w:rPr>
              <w:rFonts w:ascii="Leelawadee UI Semilight" w:hAnsi="Leelawadee UI Semilight" w:cs="Leelawadee UI Semilight"/>
            </w:rPr>
            <w:instrText xml:space="preserve"> CITATION Nor05 \l 9226 </w:instrText>
          </w:r>
          <w:r w:rsidRPr="00EC467D">
            <w:rPr>
              <w:rFonts w:ascii="Leelawadee UI Semilight" w:hAnsi="Leelawadee UI Semilight" w:cs="Leelawadee UI Semilight"/>
            </w:rPr>
            <w:fldChar w:fldCharType="separate"/>
          </w:r>
          <w:r w:rsidRPr="00EC467D">
            <w:rPr>
              <w:rFonts w:ascii="Leelawadee UI Semilight" w:hAnsi="Leelawadee UI Semilight" w:cs="Leelawadee UI Semilight"/>
              <w:noProof/>
            </w:rPr>
            <w:t xml:space="preserve"> (Norma internacional de contabilidad 39, 2005)</w:t>
          </w:r>
          <w:r w:rsidRPr="00EC467D">
            <w:rPr>
              <w:rFonts w:ascii="Leelawadee UI Semilight" w:hAnsi="Leelawadee UI Semilight" w:cs="Leelawadee UI Semilight"/>
            </w:rPr>
            <w:fldChar w:fldCharType="end"/>
          </w:r>
        </w:sdtContent>
      </w:sdt>
    </w:p>
    <w:p w14:paraId="057649A6" w14:textId="77777777" w:rsidR="00321196" w:rsidRDefault="00321196">
      <w:pPr>
        <w:rPr>
          <w:rFonts w:ascii="Leelawadee UI Semilight" w:hAnsi="Leelawadee UI Semilight" w:cs="Leelawadee UI Semilight"/>
        </w:rPr>
      </w:pPr>
    </w:p>
    <w:sdt>
      <w:sdtPr>
        <w:rPr>
          <w:rFonts w:asciiTheme="minorHAnsi" w:eastAsiaTheme="minorHAnsi" w:hAnsiTheme="minorHAnsi" w:cstheme="minorBidi"/>
          <w:color w:val="auto"/>
          <w:sz w:val="24"/>
          <w:szCs w:val="24"/>
          <w:lang w:val="es-ES"/>
        </w:rPr>
        <w:id w:val="567002950"/>
        <w:docPartObj>
          <w:docPartGallery w:val="Bibliographies"/>
          <w:docPartUnique/>
        </w:docPartObj>
      </w:sdtPr>
      <w:sdtEndPr/>
      <w:sdtContent>
        <w:p w14:paraId="25F41111" w14:textId="77777777" w:rsidR="00081FC3" w:rsidRDefault="00081FC3">
          <w:pPr>
            <w:pStyle w:val="Ttulo1"/>
            <w:rPr>
              <w:lang w:val="es-ES"/>
            </w:rPr>
          </w:pPr>
        </w:p>
        <w:p w14:paraId="1F3F6FA7" w14:textId="77777777" w:rsidR="00081FC3" w:rsidRPr="00081FC3" w:rsidRDefault="00081FC3">
          <w:pPr>
            <w:pStyle w:val="Ttulo1"/>
            <w:rPr>
              <w:lang w:val="es-CO"/>
            </w:rPr>
          </w:pPr>
          <w:r>
            <w:rPr>
              <w:lang w:val="es-ES"/>
            </w:rPr>
            <w:t>Bibliografía</w:t>
          </w:r>
        </w:p>
        <w:sdt>
          <w:sdtPr>
            <w:id w:val="111145805"/>
            <w:bibliography/>
          </w:sdtPr>
          <w:sdtEndPr/>
          <w:sdtContent>
            <w:p w14:paraId="5FAB0F2A" w14:textId="77777777" w:rsidR="00081FC3" w:rsidRDefault="00081FC3" w:rsidP="00081FC3">
              <w:pPr>
                <w:pStyle w:val="Bibliografa"/>
                <w:ind w:left="720" w:hanging="720"/>
                <w:rPr>
                  <w:noProof/>
                </w:rPr>
              </w:pPr>
              <w:r>
                <w:fldChar w:fldCharType="begin"/>
              </w:r>
              <w:r>
                <w:instrText>BIBLIOGRAPHY</w:instrText>
              </w:r>
              <w:r>
                <w:fldChar w:fldCharType="separate"/>
              </w:r>
              <w:r>
                <w:rPr>
                  <w:noProof/>
                </w:rPr>
                <w:t xml:space="preserve">Bello Caballero, E. (22 de Noviembre de 2007). </w:t>
              </w:r>
              <w:r>
                <w:rPr>
                  <w:i/>
                  <w:iCs/>
                  <w:noProof/>
                </w:rPr>
                <w:t>Los instrumentos derivados para cobertura de riesgo</w:t>
              </w:r>
              <w:r>
                <w:rPr>
                  <w:noProof/>
                </w:rPr>
                <w:t>. Obtenido de Gestiopolis: https://www.gestiopolis.com/los-instrumentos-derivados-para-cobertura-de-riesgo/</w:t>
              </w:r>
            </w:p>
            <w:p w14:paraId="4071B29F" w14:textId="77777777" w:rsidR="00081FC3" w:rsidRDefault="00081FC3" w:rsidP="00081FC3">
              <w:pPr>
                <w:pStyle w:val="Bibliografa"/>
                <w:ind w:left="720" w:hanging="720"/>
                <w:rPr>
                  <w:noProof/>
                </w:rPr>
              </w:pPr>
              <w:r>
                <w:rPr>
                  <w:i/>
                  <w:iCs/>
                  <w:noProof/>
                </w:rPr>
                <w:t>Debitoor</w:t>
              </w:r>
              <w:r>
                <w:rPr>
                  <w:noProof/>
                </w:rPr>
                <w:t>. (2015). Obtenido de Debitoor: https://debitoor.es/glosario/definicion-de-cobertura</w:t>
              </w:r>
            </w:p>
            <w:p w14:paraId="64DE5AF8" w14:textId="77777777" w:rsidR="00081FC3" w:rsidRDefault="00081FC3" w:rsidP="00081FC3">
              <w:pPr>
                <w:pStyle w:val="Bibliografa"/>
                <w:ind w:left="720" w:hanging="720"/>
                <w:rPr>
                  <w:noProof/>
                </w:rPr>
              </w:pPr>
              <w:r>
                <w:rPr>
                  <w:i/>
                  <w:iCs/>
                  <w:noProof/>
                </w:rPr>
                <w:t>Norma internacional de contabilidad 39</w:t>
              </w:r>
              <w:r>
                <w:rPr>
                  <w:noProof/>
                </w:rPr>
                <w:t>. (1 de Enero de 2005). Obtenido de https://www.mef.gob.pe/contenidos/conta_publ/con_nor_co/no_oficializ/ES_GVT_IAS39_2015.pdf</w:t>
              </w:r>
            </w:p>
            <w:p w14:paraId="4154DACC" w14:textId="77777777" w:rsidR="00081FC3" w:rsidRDefault="00081FC3" w:rsidP="00081FC3">
              <w:pPr>
                <w:pStyle w:val="Bibliografa"/>
                <w:ind w:left="720" w:hanging="720"/>
                <w:rPr>
                  <w:noProof/>
                </w:rPr>
              </w:pPr>
              <w:r>
                <w:rPr>
                  <w:i/>
                  <w:iCs/>
                  <w:noProof/>
                </w:rPr>
                <w:t>Norma internacional de contabilidad N39.</w:t>
              </w:r>
              <w:r>
                <w:rPr>
                  <w:noProof/>
                </w:rPr>
                <w:t xml:space="preserve"> (2006). Colombia.</w:t>
              </w:r>
            </w:p>
            <w:p w14:paraId="6F5AA3DD" w14:textId="77777777" w:rsidR="00081FC3" w:rsidRDefault="00081FC3" w:rsidP="00081FC3">
              <w:r>
                <w:rPr>
                  <w:b/>
                  <w:bCs/>
                </w:rPr>
                <w:fldChar w:fldCharType="end"/>
              </w:r>
            </w:p>
          </w:sdtContent>
        </w:sdt>
      </w:sdtContent>
    </w:sdt>
    <w:p w14:paraId="034D5ABD" w14:textId="77777777" w:rsidR="008A1D13" w:rsidRPr="00EC467D" w:rsidRDefault="008A1D13">
      <w:pPr>
        <w:rPr>
          <w:rFonts w:ascii="Leelawadee UI Semilight" w:hAnsi="Leelawadee UI Semilight" w:cs="Leelawadee UI Semilight"/>
        </w:rPr>
      </w:pPr>
    </w:p>
    <w:sectPr w:rsidR="008A1D13" w:rsidRPr="00EC46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A67BC"/>
    <w:multiLevelType w:val="hybridMultilevel"/>
    <w:tmpl w:val="D556D0E6"/>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1" w15:restartNumberingAfterBreak="0">
    <w:nsid w:val="2E593B25"/>
    <w:multiLevelType w:val="hybridMultilevel"/>
    <w:tmpl w:val="50A09322"/>
    <w:lvl w:ilvl="0" w:tplc="D7A6AABA">
      <w:numFmt w:val="bullet"/>
      <w:lvlText w:val="-"/>
      <w:lvlJc w:val="left"/>
      <w:pPr>
        <w:ind w:left="770" w:hanging="360"/>
      </w:pPr>
      <w:rPr>
        <w:rFonts w:ascii="Calibri" w:eastAsiaTheme="minorHAnsi"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FC53558"/>
    <w:multiLevelType w:val="hybridMultilevel"/>
    <w:tmpl w:val="5BEC05D4"/>
    <w:lvl w:ilvl="0" w:tplc="D7A6AABA">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12F765A"/>
    <w:multiLevelType w:val="multilevel"/>
    <w:tmpl w:val="735292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56310ED"/>
    <w:multiLevelType w:val="hybridMultilevel"/>
    <w:tmpl w:val="CF78A4FC"/>
    <w:lvl w:ilvl="0" w:tplc="91F04E7E">
      <w:start w:val="1"/>
      <w:numFmt w:val="lowerLetter"/>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63C4F"/>
    <w:multiLevelType w:val="hybridMultilevel"/>
    <w:tmpl w:val="AE28AC56"/>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260188A"/>
    <w:multiLevelType w:val="hybridMultilevel"/>
    <w:tmpl w:val="748C8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C14653"/>
    <w:multiLevelType w:val="hybridMultilevel"/>
    <w:tmpl w:val="C52234D2"/>
    <w:lvl w:ilvl="0" w:tplc="29FE7ED8">
      <w:start w:val="1"/>
      <w:numFmt w:val="lowerRoman"/>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7D"/>
    <w:rsid w:val="00081FC3"/>
    <w:rsid w:val="00321196"/>
    <w:rsid w:val="008A1D13"/>
    <w:rsid w:val="00D56979"/>
    <w:rsid w:val="00EC467D"/>
    <w:rsid w:val="00FE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C93C"/>
  <w15:chartTrackingRefBased/>
  <w15:docId w15:val="{1A19D062-D038-4010-AF12-7FC44DB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7D"/>
    <w:pPr>
      <w:spacing w:after="0" w:line="240" w:lineRule="auto"/>
    </w:pPr>
    <w:rPr>
      <w:sz w:val="24"/>
      <w:szCs w:val="24"/>
      <w:lang w:val="es-ES"/>
    </w:rPr>
  </w:style>
  <w:style w:type="paragraph" w:styleId="Ttulo1">
    <w:name w:val="heading 1"/>
    <w:basedOn w:val="Normal"/>
    <w:next w:val="Normal"/>
    <w:link w:val="Ttulo1Car"/>
    <w:uiPriority w:val="9"/>
    <w:qFormat/>
    <w:rsid w:val="00081FC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467D"/>
    <w:pPr>
      <w:spacing w:after="160" w:line="259" w:lineRule="auto"/>
      <w:ind w:left="720"/>
      <w:contextualSpacing/>
    </w:pPr>
    <w:rPr>
      <w:sz w:val="22"/>
      <w:szCs w:val="22"/>
      <w:lang w:val="es-CO"/>
    </w:rPr>
  </w:style>
  <w:style w:type="character" w:styleId="Hipervnculo">
    <w:name w:val="Hyperlink"/>
    <w:basedOn w:val="Fuentedeprrafopredeter"/>
    <w:uiPriority w:val="99"/>
    <w:unhideWhenUsed/>
    <w:rsid w:val="00EC467D"/>
    <w:rPr>
      <w:color w:val="0563C1" w:themeColor="hyperlink"/>
      <w:u w:val="single"/>
    </w:rPr>
  </w:style>
  <w:style w:type="table" w:styleId="Tablaconcuadrcula">
    <w:name w:val="Table Grid"/>
    <w:basedOn w:val="Tablanormal"/>
    <w:uiPriority w:val="39"/>
    <w:rsid w:val="008A1D13"/>
    <w:pPr>
      <w:spacing w:after="0" w:line="240" w:lineRule="auto"/>
    </w:pPr>
    <w:rPr>
      <w:sz w:val="24"/>
      <w:szCs w:val="24"/>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81FC3"/>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08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rencie.com/diferencias-entre-eficiencia-y-eficaci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Eye07</b:Tag>
    <b:SourceType>InternetSite</b:SourceType>
    <b:Guid>{D57B6DBC-4E62-4BCE-94E9-7A259C6FE8AB}</b:Guid>
    <b:Title>Los instrumentos derivados para cobertura de riesgo</b:Title>
    <b:Year>2007</b:Year>
    <b:Author>
      <b:Author>
        <b:NameList>
          <b:Person>
            <b:Last>Bello Caballero</b:Last>
            <b:First>Eyelin</b:First>
          </b:Person>
        </b:NameList>
      </b:Author>
    </b:Author>
    <b:InternetSiteTitle>Gestiopolis</b:InternetSiteTitle>
    <b:Month>Noviembre</b:Month>
    <b:Day>22</b:Day>
    <b:URL>https://www.gestiopolis.com/los-instrumentos-derivados-para-cobertura-de-riesgo/</b:URL>
    <b:RefOrder>1</b:RefOrder>
  </b:Source>
  <b:Source>
    <b:Tag>MarcadorDePosición1</b:Tag>
    <b:SourceType>Book</b:SourceType>
    <b:Guid>{5BCA3B1E-6B95-4B54-B3E5-2892FF01CB7D}</b:Guid>
    <b:Title>Norma internacional de contabilidad N39</b:Title>
    <b:Year>2006</b:Year>
    <b:City>Colombia</b:City>
    <b:RefOrder>2</b:RefOrder>
  </b:Source>
  <b:Source>
    <b:Tag>Deb15</b:Tag>
    <b:SourceType>InternetSite</b:SourceType>
    <b:Guid>{FEB06EC7-498D-43CF-89D6-F5AE95A2FF3E}</b:Guid>
    <b:Title>Debitoor</b:Title>
    <b:Year>2015</b:Year>
    <b:InternetSiteTitle>Debitoor</b:InternetSiteTitle>
    <b:URL>https://debitoor.es/glosario/definicion-de-cobertura</b:URL>
    <b:RefOrder>3</b:RefOrder>
  </b:Source>
  <b:Source>
    <b:Tag>Nor05</b:Tag>
    <b:SourceType>InternetSite</b:SourceType>
    <b:Guid>{8ACF5E31-3683-4B11-B78F-7EA4B62ED55F}</b:Guid>
    <b:Title>Norma internacional de contabilidad 39</b:Title>
    <b:Year>2005</b:Year>
    <b:Month>Enero</b:Month>
    <b:Day>1</b:Day>
    <b:URL>https://www.mef.gob.pe/contenidos/conta_publ/con_nor_co/no_oficializ/ES_GVT_IAS39_2015.pdf</b:URL>
    <b:RefOrder>4</b:RefOrder>
  </b:Source>
</b:Sources>
</file>

<file path=customXml/itemProps1.xml><?xml version="1.0" encoding="utf-8"?>
<ds:datastoreItem xmlns:ds="http://schemas.openxmlformats.org/officeDocument/2006/customXml" ds:itemID="{539545DE-0E6D-4157-89F6-99D56E00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1718</Words>
  <Characters>9449</Characters>
  <Application>Microsoft Office Word</Application>
  <DocSecurity>0</DocSecurity>
  <Lines>78</Lines>
  <Paragraphs>22</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    Davivienda</vt:lpstr>
      <vt:lpstr>    Curso Contabilidad de Coberturas – Resumen Básico Conceptual</vt:lpstr>
      <vt:lpstr>    </vt:lpstr>
      <vt:lpstr>    Concepto de cobertura</vt:lpstr>
      <vt:lpstr>    </vt:lpstr>
      <vt:lpstr>    Riesgos que una entidad podría gestionar mediante coberturas </vt:lpstr>
      <vt:lpstr>    Ejemplos de partidas cubiertas </vt:lpstr>
      <vt:lpstr>    Concepto de instrumentos de cobertura </vt:lpstr>
      <vt:lpstr>    Condiciones para optar por la contabilidad de coberturas</vt:lpstr>
      <vt:lpstr>    Definición de eficacia de una cobertura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Elmer Camacho Zabala</cp:lastModifiedBy>
  <cp:revision>6</cp:revision>
  <dcterms:created xsi:type="dcterms:W3CDTF">2018-03-28T11:06:00Z</dcterms:created>
  <dcterms:modified xsi:type="dcterms:W3CDTF">2020-08-27T17:41:00Z</dcterms:modified>
</cp:coreProperties>
</file>